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682C" w14:textId="77777777" w:rsidR="00675273" w:rsidRDefault="00675273">
      <w:pPr>
        <w:spacing w:after="0" w:line="240" w:lineRule="auto"/>
        <w:jc w:val="center"/>
        <w:rPr>
          <w:rFonts w:ascii="Calibri" w:hAnsi="Calibri" w:cs="Calibri"/>
          <w:b/>
          <w:bCs/>
          <w:sz w:val="22"/>
        </w:rPr>
      </w:pPr>
    </w:p>
    <w:p w14:paraId="1A52682D" w14:textId="77777777" w:rsidR="00675273" w:rsidRDefault="00D372E7">
      <w:pPr>
        <w:spacing w:after="0" w:line="240" w:lineRule="auto"/>
        <w:jc w:val="center"/>
        <w:rPr>
          <w:rFonts w:ascii="Calibri" w:hAnsi="Calibri" w:cs="Calibri"/>
          <w:b/>
          <w:bCs/>
          <w:sz w:val="22"/>
        </w:rPr>
      </w:pPr>
      <w:r>
        <w:rPr>
          <w:rFonts w:ascii="Calibri" w:hAnsi="Calibri" w:cs="Calibri"/>
          <w:b/>
          <w:bCs/>
          <w:sz w:val="22"/>
        </w:rPr>
        <w:t>POLITIQUE DE BEST EXECUTION - BEST SELECTION</w:t>
      </w:r>
    </w:p>
    <w:p w14:paraId="1A52682E" w14:textId="77777777" w:rsidR="00675273" w:rsidRDefault="00675273">
      <w:pPr>
        <w:spacing w:after="0" w:line="240" w:lineRule="auto"/>
        <w:jc w:val="center"/>
        <w:rPr>
          <w:rFonts w:ascii="Calibri" w:hAnsi="Calibri" w:cs="Calibri"/>
          <w:b/>
          <w:bCs/>
          <w:sz w:val="22"/>
        </w:rPr>
      </w:pPr>
    </w:p>
    <w:p w14:paraId="1A52682F" w14:textId="77777777" w:rsidR="00675273" w:rsidRDefault="00675273">
      <w:pPr>
        <w:spacing w:after="0" w:line="240" w:lineRule="auto"/>
        <w:jc w:val="center"/>
        <w:rPr>
          <w:rFonts w:ascii="Calibri" w:hAnsi="Calibri" w:cs="Calibri"/>
          <w:b/>
          <w:bCs/>
          <w:sz w:val="22"/>
        </w:rPr>
      </w:pPr>
    </w:p>
    <w:p w14:paraId="1A526830" w14:textId="77777777" w:rsidR="00675273" w:rsidRDefault="00D372E7">
      <w:pPr>
        <w:pStyle w:val="Titre"/>
        <w:jc w:val="both"/>
        <w:rPr>
          <w:rFonts w:ascii="Calibri" w:hAnsi="Calibri" w:cs="Calibri"/>
          <w:sz w:val="22"/>
          <w:szCs w:val="22"/>
        </w:rPr>
      </w:pPr>
      <w:r>
        <w:rPr>
          <w:rFonts w:ascii="Calibri" w:hAnsi="Calibri" w:cs="Calibri"/>
          <w:sz w:val="22"/>
          <w:szCs w:val="22"/>
        </w:rPr>
        <w:t>Préambule</w:t>
      </w:r>
    </w:p>
    <w:p w14:paraId="1A526831" w14:textId="77777777" w:rsidR="00675273" w:rsidRDefault="00675273">
      <w:pPr>
        <w:spacing w:after="0" w:line="240" w:lineRule="auto"/>
        <w:jc w:val="both"/>
        <w:rPr>
          <w:rFonts w:ascii="Calibri" w:hAnsi="Calibri" w:cs="Calibri"/>
          <w:sz w:val="22"/>
        </w:rPr>
      </w:pPr>
    </w:p>
    <w:p w14:paraId="1A526832" w14:textId="77777777" w:rsidR="00675273" w:rsidRDefault="00D372E7">
      <w:pPr>
        <w:spacing w:after="0" w:line="240" w:lineRule="auto"/>
        <w:jc w:val="both"/>
        <w:rPr>
          <w:rFonts w:ascii="Calibri" w:hAnsi="Calibri" w:cs="Calibri"/>
          <w:sz w:val="22"/>
        </w:rPr>
      </w:pPr>
      <w:r>
        <w:rPr>
          <w:rFonts w:ascii="Calibri" w:hAnsi="Calibri" w:cs="Calibri"/>
          <w:sz w:val="22"/>
        </w:rPr>
        <w:t>MBO+ est agréée au titre d’investissement dans des instruments négociés sur le marché réglementé ou organisé.</w:t>
      </w:r>
    </w:p>
    <w:p w14:paraId="1A526833" w14:textId="77777777" w:rsidR="00675273" w:rsidRDefault="00D372E7">
      <w:pPr>
        <w:spacing w:after="0" w:line="240" w:lineRule="auto"/>
        <w:jc w:val="both"/>
        <w:rPr>
          <w:rFonts w:ascii="Calibri" w:hAnsi="Calibri" w:cs="Calibri"/>
          <w:sz w:val="22"/>
        </w:rPr>
      </w:pPr>
      <w:r>
        <w:rPr>
          <w:rFonts w:ascii="Calibri" w:hAnsi="Calibri" w:cs="Calibri"/>
          <w:sz w:val="22"/>
        </w:rPr>
        <w:t xml:space="preserve">A ce titre, la société de gestion a défini une politique </w:t>
      </w:r>
      <w:r>
        <w:rPr>
          <w:rFonts w:ascii="Calibri" w:hAnsi="Calibri" w:cs="Calibri"/>
          <w:sz w:val="22"/>
        </w:rPr>
        <w:t xml:space="preserve">relative à la meilleure sélection / meilleure exécution. Il est toutefois précisé que MBO+ n’a pas vocation à exécuter des ordres directement sur les marchés financiers. La société de gestion a en effet systématiquement recours à un intermédiaire financier et a donc défini la présente politique afin de décrire son dispositif de meilleure sélection. </w:t>
      </w:r>
    </w:p>
    <w:p w14:paraId="1A526834" w14:textId="77777777" w:rsidR="00675273" w:rsidRDefault="00675273">
      <w:pPr>
        <w:spacing w:after="0" w:line="240" w:lineRule="auto"/>
        <w:jc w:val="both"/>
        <w:rPr>
          <w:rFonts w:ascii="Calibri" w:hAnsi="Calibri" w:cs="Calibri"/>
          <w:sz w:val="22"/>
        </w:rPr>
      </w:pPr>
    </w:p>
    <w:p w14:paraId="1A526835" w14:textId="77777777" w:rsidR="00675273" w:rsidRDefault="00D372E7">
      <w:pPr>
        <w:pStyle w:val="Titre"/>
        <w:ind w:left="426" w:hanging="426"/>
        <w:jc w:val="both"/>
        <w:rPr>
          <w:rFonts w:ascii="Calibri" w:hAnsi="Calibri" w:cs="Calibri"/>
          <w:sz w:val="22"/>
          <w:szCs w:val="22"/>
        </w:rPr>
      </w:pPr>
      <w:r>
        <w:rPr>
          <w:rFonts w:ascii="Calibri" w:hAnsi="Calibri" w:cs="Calibri"/>
          <w:sz w:val="22"/>
          <w:szCs w:val="22"/>
        </w:rPr>
        <w:t>Champ d’application</w:t>
      </w:r>
    </w:p>
    <w:p w14:paraId="1A526836" w14:textId="77777777" w:rsidR="00675273" w:rsidRDefault="00675273">
      <w:pPr>
        <w:spacing w:after="0" w:line="240" w:lineRule="auto"/>
        <w:jc w:val="both"/>
        <w:rPr>
          <w:rFonts w:ascii="Calibri" w:hAnsi="Calibri" w:cs="Calibri"/>
          <w:sz w:val="22"/>
        </w:rPr>
      </w:pPr>
    </w:p>
    <w:p w14:paraId="1A526837" w14:textId="77777777" w:rsidR="00675273" w:rsidRDefault="00D372E7">
      <w:pPr>
        <w:spacing w:after="0" w:line="240" w:lineRule="auto"/>
        <w:jc w:val="both"/>
        <w:rPr>
          <w:rFonts w:ascii="Calibri" w:hAnsi="Calibri" w:cs="Calibri"/>
          <w:sz w:val="22"/>
        </w:rPr>
      </w:pPr>
      <w:r>
        <w:rPr>
          <w:rFonts w:ascii="Calibri" w:hAnsi="Calibri" w:cs="Calibri"/>
          <w:sz w:val="22"/>
        </w:rPr>
        <w:t xml:space="preserve">Cette politique s’applique à toutes les classes d’instruments financiers pour lesquelles MBO+ transmet des ordres à des intermédiaires pour exécution (best </w:t>
      </w:r>
      <w:proofErr w:type="spellStart"/>
      <w:r>
        <w:rPr>
          <w:rFonts w:ascii="Calibri" w:hAnsi="Calibri" w:cs="Calibri"/>
          <w:sz w:val="22"/>
        </w:rPr>
        <w:t>selection</w:t>
      </w:r>
      <w:proofErr w:type="spellEnd"/>
      <w:r>
        <w:rPr>
          <w:rFonts w:ascii="Calibri" w:hAnsi="Calibri" w:cs="Calibri"/>
          <w:sz w:val="22"/>
        </w:rPr>
        <w:t>).</w:t>
      </w:r>
    </w:p>
    <w:p w14:paraId="1A526838" w14:textId="77777777" w:rsidR="00675273" w:rsidRDefault="00675273">
      <w:pPr>
        <w:spacing w:after="0" w:line="240" w:lineRule="auto"/>
        <w:jc w:val="both"/>
        <w:rPr>
          <w:rFonts w:ascii="Calibri" w:hAnsi="Calibri" w:cs="Calibri"/>
          <w:sz w:val="22"/>
        </w:rPr>
      </w:pPr>
    </w:p>
    <w:p w14:paraId="1A526839" w14:textId="77777777" w:rsidR="00675273" w:rsidRDefault="00D372E7">
      <w:pPr>
        <w:pStyle w:val="Titre"/>
        <w:ind w:left="426" w:hanging="426"/>
        <w:jc w:val="both"/>
        <w:rPr>
          <w:rFonts w:ascii="Calibri" w:hAnsi="Calibri" w:cs="Calibri"/>
          <w:sz w:val="22"/>
          <w:szCs w:val="22"/>
        </w:rPr>
      </w:pPr>
      <w:r>
        <w:rPr>
          <w:rFonts w:ascii="Calibri" w:hAnsi="Calibri" w:cs="Calibri"/>
          <w:sz w:val="22"/>
          <w:szCs w:val="22"/>
        </w:rPr>
        <w:t>Sélection des intermédiaires</w:t>
      </w:r>
    </w:p>
    <w:p w14:paraId="1A52683A" w14:textId="77777777" w:rsidR="00675273" w:rsidRDefault="00675273">
      <w:pPr>
        <w:spacing w:after="0" w:line="240" w:lineRule="auto"/>
        <w:jc w:val="both"/>
        <w:rPr>
          <w:rFonts w:ascii="Calibri" w:hAnsi="Calibri" w:cs="Calibri"/>
          <w:sz w:val="22"/>
        </w:rPr>
      </w:pPr>
    </w:p>
    <w:p w14:paraId="1A52683B" w14:textId="77777777" w:rsidR="00675273" w:rsidRDefault="00D372E7">
      <w:pPr>
        <w:spacing w:after="0" w:line="240" w:lineRule="auto"/>
        <w:jc w:val="both"/>
        <w:rPr>
          <w:rFonts w:ascii="Calibri" w:hAnsi="Calibri" w:cs="Calibri"/>
          <w:sz w:val="22"/>
        </w:rPr>
      </w:pPr>
      <w:r>
        <w:rPr>
          <w:rFonts w:ascii="Calibri" w:hAnsi="Calibri" w:cs="Calibri"/>
          <w:sz w:val="22"/>
        </w:rPr>
        <w:t xml:space="preserve">La sélection des intermédiaires, effectuée de manière indépendante, est conforme à l’obligation pour la société de gestion d’agir de manière honnête, loyale et professionnelle, servant au </w:t>
      </w:r>
      <w:r>
        <w:rPr>
          <w:rFonts w:ascii="Calibri" w:hAnsi="Calibri" w:cs="Calibri"/>
          <w:sz w:val="22"/>
        </w:rPr>
        <w:t>mieux les intérêts de la société de gestion et/ou les intérêts des investisseurs des fonds gérés.</w:t>
      </w:r>
    </w:p>
    <w:p w14:paraId="1A52683C" w14:textId="77777777" w:rsidR="00675273" w:rsidRDefault="00675273">
      <w:pPr>
        <w:spacing w:after="0" w:line="240" w:lineRule="auto"/>
        <w:jc w:val="both"/>
        <w:rPr>
          <w:rFonts w:ascii="Calibri" w:hAnsi="Calibri" w:cs="Calibri"/>
          <w:sz w:val="22"/>
        </w:rPr>
      </w:pPr>
    </w:p>
    <w:p w14:paraId="1A52683D" w14:textId="77777777" w:rsidR="00675273" w:rsidRDefault="00D372E7">
      <w:pPr>
        <w:spacing w:after="0" w:line="240" w:lineRule="auto"/>
        <w:jc w:val="both"/>
        <w:rPr>
          <w:rFonts w:ascii="Calibri" w:hAnsi="Calibri" w:cs="Calibri"/>
          <w:sz w:val="22"/>
        </w:rPr>
      </w:pPr>
      <w:r>
        <w:rPr>
          <w:rFonts w:ascii="Calibri" w:hAnsi="Calibri" w:cs="Calibri"/>
          <w:sz w:val="22"/>
        </w:rPr>
        <w:t>La sélection avant toute entrée en relation et l’évaluation des intermédiaires sont réalisées sur la base de critères qualitatifs et des critères quantitatifs. Certains critères sont plus importants que d’autres et sont donc davantage pris en compte dans l’appréciation globale.</w:t>
      </w:r>
    </w:p>
    <w:p w14:paraId="1A52683E" w14:textId="77777777" w:rsidR="00675273" w:rsidRDefault="00675273">
      <w:pPr>
        <w:spacing w:after="0" w:line="240" w:lineRule="auto"/>
        <w:jc w:val="both"/>
        <w:rPr>
          <w:rFonts w:ascii="Calibri" w:hAnsi="Calibri" w:cs="Calibri"/>
          <w:sz w:val="22"/>
        </w:rPr>
      </w:pPr>
    </w:p>
    <w:p w14:paraId="1A52683F" w14:textId="77777777" w:rsidR="00675273" w:rsidRDefault="00D372E7">
      <w:pPr>
        <w:spacing w:after="0" w:line="240" w:lineRule="auto"/>
        <w:jc w:val="both"/>
        <w:rPr>
          <w:rFonts w:ascii="Calibri" w:hAnsi="Calibri" w:cs="Calibri"/>
          <w:sz w:val="22"/>
        </w:rPr>
      </w:pPr>
      <w:r>
        <w:rPr>
          <w:rFonts w:ascii="Calibri" w:hAnsi="Calibri" w:cs="Calibri"/>
          <w:sz w:val="22"/>
        </w:rPr>
        <w:t>Les critères de sélection sont les suivants (par ordre de priorité) :</w:t>
      </w:r>
    </w:p>
    <w:p w14:paraId="1A526840"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le</w:t>
      </w:r>
      <w:proofErr w:type="gramEnd"/>
      <w:r>
        <w:rPr>
          <w:rFonts w:ascii="Calibri" w:hAnsi="Calibri" w:cs="Calibri"/>
          <w:sz w:val="22"/>
        </w:rPr>
        <w:t xml:space="preserve"> prix global proposé pour la prestation,</w:t>
      </w:r>
    </w:p>
    <w:p w14:paraId="1A526841"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la</w:t>
      </w:r>
      <w:proofErr w:type="gramEnd"/>
      <w:r>
        <w:rPr>
          <w:rFonts w:ascii="Calibri" w:hAnsi="Calibri" w:cs="Calibri"/>
          <w:sz w:val="22"/>
        </w:rPr>
        <w:t xml:space="preserve"> qualité de l’exécution des prestations,</w:t>
      </w:r>
    </w:p>
    <w:p w14:paraId="1A526842"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la</w:t>
      </w:r>
      <w:proofErr w:type="gramEnd"/>
      <w:r>
        <w:rPr>
          <w:rFonts w:ascii="Calibri" w:hAnsi="Calibri" w:cs="Calibri"/>
          <w:sz w:val="22"/>
        </w:rPr>
        <w:t xml:space="preserve"> réactivité et la disponibilité des équipes du prestataire,</w:t>
      </w:r>
    </w:p>
    <w:p w14:paraId="1A526843"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la</w:t>
      </w:r>
      <w:proofErr w:type="gramEnd"/>
      <w:r>
        <w:rPr>
          <w:rFonts w:ascii="Calibri" w:hAnsi="Calibri" w:cs="Calibri"/>
          <w:sz w:val="22"/>
        </w:rPr>
        <w:t xml:space="preserve"> compétence technique, connaissance du périmètre défini, fiabilité,</w:t>
      </w:r>
    </w:p>
    <w:p w14:paraId="1A526844"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la</w:t>
      </w:r>
      <w:proofErr w:type="gramEnd"/>
      <w:r>
        <w:rPr>
          <w:rFonts w:ascii="Calibri" w:hAnsi="Calibri" w:cs="Calibri"/>
          <w:sz w:val="22"/>
        </w:rPr>
        <w:t xml:space="preserve"> confiance, l’habitude de travail,</w:t>
      </w:r>
    </w:p>
    <w:p w14:paraId="1A526845"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la</w:t>
      </w:r>
      <w:proofErr w:type="gramEnd"/>
      <w:r>
        <w:rPr>
          <w:rFonts w:ascii="Calibri" w:hAnsi="Calibri" w:cs="Calibri"/>
          <w:sz w:val="22"/>
        </w:rPr>
        <w:t xml:space="preserve"> réputation de l’intermédiaire et son image de marque sur la place,</w:t>
      </w:r>
    </w:p>
    <w:p w14:paraId="1A526846" w14:textId="77777777" w:rsidR="00675273" w:rsidRDefault="00D372E7">
      <w:pPr>
        <w:pStyle w:val="Paragraphedeliste"/>
        <w:numPr>
          <w:ilvl w:val="0"/>
          <w:numId w:val="5"/>
        </w:numPr>
        <w:spacing w:after="0" w:line="240" w:lineRule="auto"/>
        <w:jc w:val="both"/>
        <w:rPr>
          <w:rFonts w:ascii="Calibri" w:hAnsi="Calibri" w:cs="Calibri"/>
          <w:sz w:val="22"/>
        </w:rPr>
      </w:pPr>
      <w:proofErr w:type="gramStart"/>
      <w:r>
        <w:rPr>
          <w:rFonts w:ascii="Calibri" w:hAnsi="Calibri" w:cs="Calibri"/>
          <w:sz w:val="22"/>
        </w:rPr>
        <w:t>les</w:t>
      </w:r>
      <w:proofErr w:type="gramEnd"/>
      <w:r>
        <w:rPr>
          <w:rFonts w:ascii="Calibri" w:hAnsi="Calibri" w:cs="Calibri"/>
          <w:sz w:val="22"/>
        </w:rPr>
        <w:t xml:space="preserve"> particularités de l’intermédiaire.</w:t>
      </w:r>
    </w:p>
    <w:p w14:paraId="1A526847" w14:textId="77777777" w:rsidR="00675273" w:rsidRDefault="00675273">
      <w:pPr>
        <w:spacing w:after="0" w:line="240" w:lineRule="auto"/>
        <w:jc w:val="both"/>
        <w:rPr>
          <w:rFonts w:ascii="Calibri" w:hAnsi="Calibri" w:cs="Calibri"/>
          <w:sz w:val="22"/>
        </w:rPr>
      </w:pPr>
    </w:p>
    <w:p w14:paraId="1A526848" w14:textId="77777777" w:rsidR="00675273" w:rsidRDefault="00D372E7">
      <w:pPr>
        <w:spacing w:after="0" w:line="240" w:lineRule="auto"/>
        <w:jc w:val="both"/>
        <w:rPr>
          <w:rFonts w:ascii="Calibri" w:hAnsi="Calibri" w:cs="Calibri"/>
          <w:sz w:val="22"/>
        </w:rPr>
      </w:pPr>
      <w:r>
        <w:rPr>
          <w:rFonts w:ascii="Calibri" w:hAnsi="Calibri" w:cs="Calibri"/>
          <w:sz w:val="22"/>
        </w:rPr>
        <w:t>Chaque critère est noté selon la notation suivante :</w:t>
      </w:r>
    </w:p>
    <w:p w14:paraId="1A526849" w14:textId="77777777" w:rsidR="00675273" w:rsidRDefault="00D372E7">
      <w:pPr>
        <w:pStyle w:val="Paragraphedeliste"/>
        <w:numPr>
          <w:ilvl w:val="0"/>
          <w:numId w:val="6"/>
        </w:numPr>
        <w:spacing w:after="0" w:line="240" w:lineRule="auto"/>
        <w:jc w:val="both"/>
        <w:rPr>
          <w:rFonts w:ascii="Calibri" w:hAnsi="Calibri" w:cs="Calibri"/>
          <w:sz w:val="22"/>
        </w:rPr>
      </w:pPr>
      <w:r>
        <w:rPr>
          <w:rFonts w:ascii="Calibri" w:hAnsi="Calibri" w:cs="Calibri"/>
          <w:sz w:val="22"/>
        </w:rPr>
        <w:t>Peu satisfaisant</w:t>
      </w:r>
    </w:p>
    <w:p w14:paraId="1A52684A" w14:textId="77777777" w:rsidR="00675273" w:rsidRDefault="00D372E7">
      <w:pPr>
        <w:pStyle w:val="Paragraphedeliste"/>
        <w:numPr>
          <w:ilvl w:val="0"/>
          <w:numId w:val="6"/>
        </w:numPr>
        <w:spacing w:after="0" w:line="240" w:lineRule="auto"/>
        <w:jc w:val="both"/>
        <w:rPr>
          <w:rFonts w:ascii="Calibri" w:hAnsi="Calibri" w:cs="Calibri"/>
          <w:sz w:val="22"/>
        </w:rPr>
      </w:pPr>
      <w:r>
        <w:rPr>
          <w:rFonts w:ascii="Calibri" w:hAnsi="Calibri" w:cs="Calibri"/>
          <w:sz w:val="22"/>
        </w:rPr>
        <w:t>Satisfaisant</w:t>
      </w:r>
    </w:p>
    <w:p w14:paraId="1A52684B" w14:textId="77777777" w:rsidR="00675273" w:rsidRDefault="00D372E7">
      <w:pPr>
        <w:pStyle w:val="Paragraphedeliste"/>
        <w:numPr>
          <w:ilvl w:val="0"/>
          <w:numId w:val="6"/>
        </w:numPr>
        <w:spacing w:after="0" w:line="240" w:lineRule="auto"/>
        <w:jc w:val="both"/>
        <w:rPr>
          <w:rFonts w:ascii="Calibri" w:hAnsi="Calibri" w:cs="Calibri"/>
          <w:sz w:val="22"/>
        </w:rPr>
      </w:pPr>
      <w:r>
        <w:rPr>
          <w:rFonts w:ascii="Calibri" w:hAnsi="Calibri" w:cs="Calibri"/>
          <w:sz w:val="22"/>
        </w:rPr>
        <w:t>Très satisfaisant</w:t>
      </w:r>
    </w:p>
    <w:p w14:paraId="1A52684C" w14:textId="77777777" w:rsidR="00675273" w:rsidRDefault="00D372E7">
      <w:pPr>
        <w:pStyle w:val="Paragraphedeliste"/>
        <w:numPr>
          <w:ilvl w:val="0"/>
          <w:numId w:val="6"/>
        </w:numPr>
        <w:spacing w:after="0" w:line="240" w:lineRule="auto"/>
        <w:jc w:val="both"/>
        <w:rPr>
          <w:rFonts w:ascii="Calibri" w:hAnsi="Calibri" w:cs="Calibri"/>
          <w:sz w:val="22"/>
        </w:rPr>
      </w:pPr>
      <w:r>
        <w:rPr>
          <w:rFonts w:ascii="Calibri" w:hAnsi="Calibri" w:cs="Calibri"/>
          <w:sz w:val="22"/>
        </w:rPr>
        <w:t>Non applicable</w:t>
      </w:r>
    </w:p>
    <w:p w14:paraId="1A52684D" w14:textId="77777777" w:rsidR="00675273" w:rsidRDefault="00675273">
      <w:pPr>
        <w:spacing w:after="0" w:line="240" w:lineRule="auto"/>
        <w:jc w:val="both"/>
        <w:rPr>
          <w:rFonts w:ascii="Calibri" w:hAnsi="Calibri" w:cs="Calibri"/>
          <w:sz w:val="22"/>
        </w:rPr>
      </w:pPr>
    </w:p>
    <w:p w14:paraId="1A52684E" w14:textId="77777777" w:rsidR="00675273" w:rsidRDefault="00D372E7">
      <w:pPr>
        <w:spacing w:after="0" w:line="240" w:lineRule="auto"/>
        <w:jc w:val="both"/>
        <w:rPr>
          <w:rFonts w:ascii="Calibri" w:hAnsi="Calibri" w:cs="Calibri"/>
          <w:sz w:val="22"/>
        </w:rPr>
      </w:pPr>
      <w:r>
        <w:rPr>
          <w:rFonts w:ascii="Calibri" w:hAnsi="Calibri" w:cs="Calibri"/>
          <w:sz w:val="22"/>
        </w:rPr>
        <w:t>Les critères mentionnés ci-dessus ne sont pas immuables. Ils sont susceptibles d’évoluer au cours du temps quant à leur importance respective, voire de changer, tant en fonction de la conjoncture économique que des besoins de la société de gestion.</w:t>
      </w:r>
    </w:p>
    <w:p w14:paraId="1A52684F" w14:textId="77777777" w:rsidR="00675273" w:rsidRDefault="00675273">
      <w:pPr>
        <w:spacing w:after="0" w:line="240" w:lineRule="auto"/>
        <w:jc w:val="both"/>
        <w:rPr>
          <w:rFonts w:ascii="Calibri" w:hAnsi="Calibri" w:cs="Calibri"/>
          <w:sz w:val="22"/>
        </w:rPr>
      </w:pPr>
    </w:p>
    <w:p w14:paraId="1A526850" w14:textId="77777777" w:rsidR="00675273" w:rsidRDefault="00D372E7">
      <w:pPr>
        <w:spacing w:after="0" w:line="240" w:lineRule="auto"/>
        <w:jc w:val="both"/>
        <w:rPr>
          <w:rFonts w:ascii="Calibri" w:hAnsi="Calibri" w:cs="Calibri"/>
          <w:sz w:val="22"/>
        </w:rPr>
      </w:pPr>
      <w:r>
        <w:rPr>
          <w:rFonts w:ascii="Calibri" w:hAnsi="Calibri" w:cs="Calibri"/>
          <w:sz w:val="22"/>
        </w:rPr>
        <w:t xml:space="preserve">La grille d’évaluation représentant la combinaison des critères précédemment mentionnés, </w:t>
      </w:r>
      <w:r>
        <w:rPr>
          <w:rFonts w:ascii="Calibri" w:hAnsi="Calibri" w:cs="Calibri"/>
          <w:sz w:val="22"/>
        </w:rPr>
        <w:t xml:space="preserve">établie par le membre de l’équipe de la société de gestion souhaitant faire appel à un intermédiaire, va ainsi permettre de sélectionner les intermédiaires répondant au mieux aux caractéristiques recherchés par la société de gestion. </w:t>
      </w:r>
    </w:p>
    <w:p w14:paraId="1A526851" w14:textId="77777777" w:rsidR="00675273" w:rsidRDefault="00D372E7">
      <w:pPr>
        <w:spacing w:after="0" w:line="240" w:lineRule="auto"/>
        <w:jc w:val="both"/>
        <w:rPr>
          <w:rFonts w:ascii="Calibri" w:hAnsi="Calibri" w:cs="Calibri"/>
          <w:sz w:val="22"/>
        </w:rPr>
      </w:pPr>
      <w:r>
        <w:rPr>
          <w:rFonts w:ascii="Calibri" w:hAnsi="Calibri" w:cs="Calibri"/>
          <w:sz w:val="22"/>
        </w:rPr>
        <w:t>Elle est ensuite revue par le RCCI et validée par un des membres de la direction de la société de gestion.</w:t>
      </w:r>
    </w:p>
    <w:p w14:paraId="1A526852" w14:textId="77777777" w:rsidR="00675273" w:rsidRDefault="00675273">
      <w:pPr>
        <w:spacing w:after="0" w:line="240" w:lineRule="auto"/>
        <w:jc w:val="both"/>
        <w:rPr>
          <w:rFonts w:ascii="Calibri" w:hAnsi="Calibri" w:cs="Calibri"/>
          <w:sz w:val="22"/>
        </w:rPr>
      </w:pPr>
    </w:p>
    <w:p w14:paraId="1A526853" w14:textId="77777777" w:rsidR="00675273" w:rsidRDefault="00D372E7">
      <w:pPr>
        <w:spacing w:after="0" w:line="240" w:lineRule="auto"/>
        <w:jc w:val="both"/>
        <w:rPr>
          <w:rFonts w:ascii="Calibri" w:hAnsi="Calibri" w:cs="Calibri"/>
          <w:sz w:val="22"/>
        </w:rPr>
      </w:pPr>
      <w:r>
        <w:rPr>
          <w:rFonts w:ascii="Calibri" w:hAnsi="Calibri" w:cs="Calibri"/>
          <w:sz w:val="22"/>
        </w:rPr>
        <w:lastRenderedPageBreak/>
        <w:t>L’évaluation de la prestation de l’intermédiaire est cependant effectuée au quotidien via les critères précédemment cités. Une fiche d’évaluation est également formalisée annuellement en fonction des requêtes effectuées sur des instruments négociés sur un marché réglementé ou organisé.</w:t>
      </w:r>
    </w:p>
    <w:p w14:paraId="1A526854" w14:textId="77777777" w:rsidR="00675273" w:rsidRDefault="00675273">
      <w:pPr>
        <w:spacing w:after="0" w:line="240" w:lineRule="auto"/>
        <w:jc w:val="both"/>
        <w:rPr>
          <w:rFonts w:ascii="Calibri" w:hAnsi="Calibri" w:cs="Calibri"/>
          <w:sz w:val="22"/>
        </w:rPr>
      </w:pPr>
    </w:p>
    <w:p w14:paraId="1A526855" w14:textId="77777777" w:rsidR="00675273" w:rsidRDefault="00D372E7">
      <w:pPr>
        <w:spacing w:after="0" w:line="240" w:lineRule="auto"/>
        <w:jc w:val="both"/>
        <w:rPr>
          <w:rFonts w:ascii="Calibri" w:hAnsi="Calibri" w:cs="Calibri"/>
          <w:sz w:val="22"/>
        </w:rPr>
      </w:pPr>
      <w:r>
        <w:rPr>
          <w:rFonts w:ascii="Calibri" w:hAnsi="Calibri" w:cs="Calibri"/>
          <w:sz w:val="22"/>
        </w:rPr>
        <w:t xml:space="preserve">En cas de défaut de concordance entre les exigences de la société de gestion et les prestations effectuées par l’intermédiaire, la société de gestion entamera un dialogue sur ses attentes et partagera ses demandes d’amélioration à l’intermédiaire. A défaut d’accord ou d’actions de remédiation, MBO+ pourra mettre fin à la relation d’affaire avec l’intermédiaire. </w:t>
      </w:r>
    </w:p>
    <w:p w14:paraId="1A526856" w14:textId="77777777" w:rsidR="00675273" w:rsidRDefault="00675273">
      <w:pPr>
        <w:spacing w:after="0" w:line="240" w:lineRule="auto"/>
        <w:jc w:val="both"/>
        <w:rPr>
          <w:rFonts w:ascii="Calibri" w:hAnsi="Calibri" w:cs="Calibri"/>
          <w:sz w:val="22"/>
        </w:rPr>
      </w:pPr>
    </w:p>
    <w:p w14:paraId="1A526857" w14:textId="77777777" w:rsidR="00675273" w:rsidRDefault="00D372E7">
      <w:pPr>
        <w:spacing w:after="0" w:line="240" w:lineRule="auto"/>
        <w:jc w:val="both"/>
        <w:rPr>
          <w:rFonts w:ascii="Calibri" w:hAnsi="Calibri" w:cs="Calibri"/>
          <w:sz w:val="22"/>
        </w:rPr>
      </w:pPr>
      <w:r>
        <w:rPr>
          <w:rFonts w:ascii="Calibri" w:hAnsi="Calibri" w:cs="Calibri"/>
          <w:sz w:val="22"/>
        </w:rPr>
        <w:t>La liste des principaux intermédiaires sélectionnés est tenue à jour par MBO+ et peut être communiquée au client sur demande.</w:t>
      </w:r>
    </w:p>
    <w:p w14:paraId="1A526858" w14:textId="77777777" w:rsidR="00675273" w:rsidRDefault="00675273">
      <w:pPr>
        <w:spacing w:after="0" w:line="240" w:lineRule="auto"/>
        <w:jc w:val="both"/>
        <w:rPr>
          <w:rFonts w:ascii="Calibri" w:hAnsi="Calibri" w:cs="Calibri"/>
          <w:sz w:val="22"/>
        </w:rPr>
      </w:pPr>
    </w:p>
    <w:p w14:paraId="1A526859" w14:textId="77777777" w:rsidR="00675273" w:rsidRDefault="00D372E7">
      <w:pPr>
        <w:pStyle w:val="Titre"/>
        <w:ind w:left="426" w:hanging="426"/>
        <w:jc w:val="both"/>
        <w:rPr>
          <w:rFonts w:ascii="Calibri" w:hAnsi="Calibri" w:cs="Calibri"/>
          <w:sz w:val="22"/>
          <w:szCs w:val="22"/>
        </w:rPr>
      </w:pPr>
      <w:r>
        <w:rPr>
          <w:rFonts w:ascii="Calibri" w:hAnsi="Calibri" w:cs="Calibri"/>
          <w:sz w:val="22"/>
          <w:szCs w:val="22"/>
        </w:rPr>
        <w:t>Contrôle et revue de la politique</w:t>
      </w:r>
    </w:p>
    <w:p w14:paraId="1A52685A" w14:textId="77777777" w:rsidR="00675273" w:rsidRDefault="00675273">
      <w:pPr>
        <w:spacing w:after="0" w:line="240" w:lineRule="auto"/>
        <w:jc w:val="both"/>
        <w:rPr>
          <w:rFonts w:ascii="Calibri" w:hAnsi="Calibri" w:cs="Calibri"/>
          <w:sz w:val="22"/>
        </w:rPr>
      </w:pPr>
    </w:p>
    <w:p w14:paraId="1A52685B" w14:textId="77777777" w:rsidR="00675273" w:rsidRDefault="00D372E7">
      <w:pPr>
        <w:spacing w:after="0" w:line="240" w:lineRule="auto"/>
        <w:jc w:val="both"/>
        <w:rPr>
          <w:rFonts w:ascii="Calibri" w:hAnsi="Calibri" w:cs="Calibri"/>
          <w:sz w:val="22"/>
        </w:rPr>
      </w:pPr>
      <w:r>
        <w:rPr>
          <w:rFonts w:ascii="Calibri" w:hAnsi="Calibri" w:cs="Calibri"/>
          <w:sz w:val="22"/>
        </w:rPr>
        <w:t>MBO+ met en place des contrôles réguliers pour vérifier la conformité de son dispositif de sélection.</w:t>
      </w:r>
    </w:p>
    <w:p w14:paraId="1A52685C" w14:textId="77777777" w:rsidR="00675273" w:rsidRDefault="00D372E7">
      <w:pPr>
        <w:spacing w:after="0" w:line="240" w:lineRule="auto"/>
        <w:jc w:val="both"/>
        <w:rPr>
          <w:rFonts w:ascii="Calibri" w:hAnsi="Calibri" w:cs="Calibri"/>
          <w:sz w:val="22"/>
        </w:rPr>
      </w:pPr>
      <w:r>
        <w:rPr>
          <w:rFonts w:ascii="Calibri" w:hAnsi="Calibri" w:cs="Calibri"/>
          <w:sz w:val="22"/>
        </w:rPr>
        <w:t xml:space="preserve">La présente </w:t>
      </w:r>
      <w:r>
        <w:rPr>
          <w:rFonts w:ascii="Calibri" w:hAnsi="Calibri" w:cs="Calibri"/>
          <w:sz w:val="22"/>
        </w:rPr>
        <w:t>politique est réexaminée au moins une fois par an et mise à jour si nécessaire, notamment en cas de changement significatif dans les dispositions réglementaires ou dans l’organisation du dispositif interne.</w:t>
      </w:r>
    </w:p>
    <w:p w14:paraId="1A52685D" w14:textId="77777777" w:rsidR="00675273" w:rsidRDefault="00675273">
      <w:pPr>
        <w:spacing w:after="0" w:line="240" w:lineRule="auto"/>
        <w:jc w:val="both"/>
        <w:rPr>
          <w:rFonts w:ascii="Calibri" w:hAnsi="Calibri" w:cs="Calibri"/>
          <w:sz w:val="22"/>
        </w:rPr>
      </w:pPr>
    </w:p>
    <w:p w14:paraId="1A52685E" w14:textId="77777777" w:rsidR="00675273" w:rsidRDefault="00D372E7">
      <w:pPr>
        <w:pStyle w:val="Titre"/>
        <w:ind w:left="426" w:hanging="426"/>
        <w:jc w:val="both"/>
        <w:rPr>
          <w:rFonts w:ascii="Calibri" w:hAnsi="Calibri" w:cs="Calibri"/>
          <w:sz w:val="22"/>
          <w:szCs w:val="22"/>
        </w:rPr>
      </w:pPr>
      <w:r>
        <w:rPr>
          <w:rFonts w:ascii="Calibri" w:hAnsi="Calibri" w:cs="Calibri"/>
          <w:sz w:val="22"/>
          <w:szCs w:val="22"/>
        </w:rPr>
        <w:t>Information des clients</w:t>
      </w:r>
    </w:p>
    <w:p w14:paraId="1A52685F" w14:textId="77777777" w:rsidR="00675273" w:rsidRDefault="00675273">
      <w:pPr>
        <w:spacing w:after="0" w:line="240" w:lineRule="auto"/>
        <w:jc w:val="both"/>
        <w:rPr>
          <w:rFonts w:ascii="Calibri" w:hAnsi="Calibri" w:cs="Calibri"/>
          <w:sz w:val="22"/>
        </w:rPr>
      </w:pPr>
    </w:p>
    <w:p w14:paraId="1A526860" w14:textId="77777777" w:rsidR="00675273" w:rsidRDefault="00D372E7">
      <w:pPr>
        <w:spacing w:after="0" w:line="240" w:lineRule="auto"/>
        <w:jc w:val="both"/>
        <w:rPr>
          <w:rFonts w:ascii="Calibri" w:hAnsi="Calibri" w:cs="Calibri"/>
          <w:sz w:val="22"/>
        </w:rPr>
      </w:pPr>
      <w:r>
        <w:rPr>
          <w:rFonts w:ascii="Calibri" w:hAnsi="Calibri" w:cs="Calibri"/>
          <w:sz w:val="22"/>
        </w:rPr>
        <w:t>La présente politique est mise à disposition des clients et des prospects sur le site internet de MBO+.</w:t>
      </w:r>
    </w:p>
    <w:p w14:paraId="1A526861" w14:textId="77777777" w:rsidR="00675273" w:rsidRDefault="00675273">
      <w:pPr>
        <w:rPr>
          <w:rFonts w:ascii="Calibri" w:hAnsi="Calibri" w:cs="Calibri"/>
          <w:sz w:val="22"/>
        </w:rPr>
      </w:pPr>
    </w:p>
    <w:sectPr w:rsidR="00675273">
      <w:headerReference w:type="default" r:id="rId7"/>
      <w:footerReference w:type="default" r:id="rId8"/>
      <w:pgSz w:w="11906" w:h="16838"/>
      <w:pgMar w:top="1134" w:right="851" w:bottom="113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B84E" w14:textId="77777777" w:rsidR="00D372E7" w:rsidRDefault="00D372E7">
      <w:pPr>
        <w:spacing w:after="0" w:line="240" w:lineRule="auto"/>
      </w:pPr>
      <w:r>
        <w:separator/>
      </w:r>
    </w:p>
  </w:endnote>
  <w:endnote w:type="continuationSeparator" w:id="0">
    <w:p w14:paraId="6E3AB3BC" w14:textId="77777777" w:rsidR="00D372E7" w:rsidRDefault="00D3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83A" w14:textId="77777777" w:rsidR="00D372E7" w:rsidRDefault="00D372E7">
    <w:pPr>
      <w:pStyle w:val="Pieddepage"/>
    </w:pPr>
    <w:r>
      <w:t>7 rue Copernic, 75116 Paris - +33(0) 1 56 64 17 00</w:t>
    </w:r>
  </w:p>
  <w:p w14:paraId="1A52683B" w14:textId="77777777" w:rsidR="00D372E7" w:rsidRDefault="00D372E7">
    <w:pPr>
      <w:pStyle w:val="Pieddepage"/>
    </w:pPr>
    <w:r>
      <w:t>SAS au capital de 1 041 630 euros - R.C.S. Paris B 443 024 237 / Numéro d’agrément AMF : GP 02 015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2831" w14:textId="77777777" w:rsidR="00D372E7" w:rsidRDefault="00D372E7">
      <w:pPr>
        <w:spacing w:after="0" w:line="240" w:lineRule="auto"/>
      </w:pPr>
      <w:r>
        <w:separator/>
      </w:r>
    </w:p>
  </w:footnote>
  <w:footnote w:type="continuationSeparator" w:id="0">
    <w:p w14:paraId="68429C51" w14:textId="77777777" w:rsidR="00D372E7" w:rsidRDefault="00D37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10" w:type="dxa"/>
        <w:right w:w="10" w:type="dxa"/>
      </w:tblCellMar>
      <w:tblLook w:val="04A0" w:firstRow="1" w:lastRow="0" w:firstColumn="1" w:lastColumn="0" w:noHBand="0" w:noVBand="1"/>
    </w:tblPr>
    <w:tblGrid>
      <w:gridCol w:w="1418"/>
      <w:gridCol w:w="7229"/>
      <w:gridCol w:w="1559"/>
    </w:tblGrid>
    <w:tr w:rsidR="00743AAC" w14:paraId="1A526837" w14:textId="77777777">
      <w:tblPrEx>
        <w:tblCellMar>
          <w:top w:w="0" w:type="dxa"/>
          <w:bottom w:w="0" w:type="dxa"/>
        </w:tblCellMar>
      </w:tblPrEx>
      <w:tc>
        <w:tcPr>
          <w:tcW w:w="1418" w:type="dxa"/>
          <w:tcMar>
            <w:top w:w="0" w:type="dxa"/>
            <w:left w:w="0" w:type="dxa"/>
            <w:bottom w:w="0" w:type="dxa"/>
            <w:right w:w="0" w:type="dxa"/>
          </w:tcMar>
        </w:tcPr>
        <w:p w14:paraId="1A526834" w14:textId="77777777" w:rsidR="00D372E7" w:rsidRDefault="00D372E7">
          <w:pPr>
            <w:pStyle w:val="En-tte"/>
          </w:pPr>
          <w:r>
            <w:rPr>
              <w:noProof/>
              <w:lang w:val="en-US"/>
            </w:rPr>
            <w:drawing>
              <wp:inline distT="0" distB="0" distL="0" distR="0" wp14:anchorId="1A52682C" wp14:editId="1A52682D">
                <wp:extent cx="939161" cy="551182"/>
                <wp:effectExtent l="0" t="0" r="0" b="1268"/>
                <wp:docPr id="18565740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161" cy="551182"/>
                        </a:xfrm>
                        <a:prstGeom prst="rect">
                          <a:avLst/>
                        </a:prstGeom>
                        <a:noFill/>
                        <a:ln>
                          <a:noFill/>
                          <a:prstDash/>
                        </a:ln>
                      </pic:spPr>
                    </pic:pic>
                  </a:graphicData>
                </a:graphic>
              </wp:inline>
            </w:drawing>
          </w:r>
        </w:p>
      </w:tc>
      <w:tc>
        <w:tcPr>
          <w:tcW w:w="7229" w:type="dxa"/>
          <w:tcMar>
            <w:top w:w="0" w:type="dxa"/>
            <w:left w:w="0" w:type="dxa"/>
            <w:bottom w:w="0" w:type="dxa"/>
            <w:right w:w="0" w:type="dxa"/>
          </w:tcMar>
        </w:tcPr>
        <w:p w14:paraId="1A526835" w14:textId="77777777" w:rsidR="00D372E7" w:rsidRDefault="00D372E7">
          <w:pPr>
            <w:pStyle w:val="En-tte"/>
          </w:pPr>
        </w:p>
      </w:tc>
      <w:tc>
        <w:tcPr>
          <w:tcW w:w="1559" w:type="dxa"/>
          <w:tcMar>
            <w:top w:w="0" w:type="dxa"/>
            <w:left w:w="0" w:type="dxa"/>
            <w:bottom w:w="0" w:type="dxa"/>
            <w:right w:w="0" w:type="dxa"/>
          </w:tcMar>
          <w:vAlign w:val="center"/>
        </w:tcPr>
        <w:p w14:paraId="1A526836" w14:textId="77777777" w:rsidR="00D372E7" w:rsidRDefault="00D372E7">
          <w:pPr>
            <w:pStyle w:val="En-tte"/>
            <w:jc w:val="right"/>
          </w:pPr>
        </w:p>
      </w:tc>
    </w:tr>
  </w:tbl>
  <w:p w14:paraId="1A526838" w14:textId="77777777" w:rsidR="00D372E7" w:rsidRDefault="00D372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28B8"/>
    <w:multiLevelType w:val="multilevel"/>
    <w:tmpl w:val="CDEC71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A9304F"/>
    <w:multiLevelType w:val="multilevel"/>
    <w:tmpl w:val="24229FB0"/>
    <w:styleLink w:val="TemplateBulletList"/>
    <w:lvl w:ilvl="0">
      <w:numFmt w:val="bullet"/>
      <w:pStyle w:val="Listepuces5"/>
      <w:lvlText w:val=""/>
      <w:lvlJc w:val="left"/>
      <w:pPr>
        <w:ind w:left="284" w:hanging="284"/>
      </w:pPr>
      <w:rPr>
        <w:rFonts w:ascii="Symbol" w:hAnsi="Symbol"/>
        <w:color w:val="003042"/>
      </w:rPr>
    </w:lvl>
    <w:lvl w:ilvl="1">
      <w:numFmt w:val="bullet"/>
      <w:lvlText w:val="o"/>
      <w:lvlJc w:val="left"/>
      <w:pPr>
        <w:ind w:left="568" w:hanging="284"/>
      </w:pPr>
      <w:rPr>
        <w:rFonts w:ascii="Calibri" w:hAnsi="Calibri"/>
        <w:color w:val="003042"/>
      </w:rPr>
    </w:lvl>
    <w:lvl w:ilvl="2">
      <w:numFmt w:val="bullet"/>
      <w:lvlText w:val=""/>
      <w:lvlJc w:val="left"/>
      <w:pPr>
        <w:ind w:left="852" w:hanging="284"/>
      </w:pPr>
      <w:rPr>
        <w:rFonts w:ascii="Symbol" w:hAnsi="Symbol"/>
        <w:color w:val="003042"/>
      </w:rPr>
    </w:lvl>
    <w:lvl w:ilvl="3">
      <w:start w:val="1"/>
      <w:numFmt w:val="decimal"/>
      <w:lvlText w:val="()"/>
      <w:lvlJc w:val="left"/>
      <w:pPr>
        <w:ind w:left="1136" w:hanging="284"/>
      </w:pPr>
    </w:lvl>
    <w:lvl w:ilvl="4">
      <w:start w:val="1"/>
      <w:numFmt w:val="lowerLetter"/>
      <w:lvlText w:val="()"/>
      <w:lvlJc w:val="left"/>
      <w:pPr>
        <w:ind w:left="1420" w:hanging="284"/>
      </w:pPr>
    </w:lvl>
    <w:lvl w:ilvl="5">
      <w:start w:val="1"/>
      <w:numFmt w:val="lowerRoman"/>
      <w:lvlText w:val="()"/>
      <w:lvlJc w:val="left"/>
      <w:pPr>
        <w:ind w:left="1704" w:hanging="284"/>
      </w:pPr>
    </w:lvl>
    <w:lvl w:ilvl="6">
      <w:start w:val="1"/>
      <w:numFmt w:val="decimal"/>
      <w:lvlText w:val="."/>
      <w:lvlJc w:val="left"/>
      <w:pPr>
        <w:ind w:left="1988" w:hanging="284"/>
      </w:pPr>
    </w:lvl>
    <w:lvl w:ilvl="7">
      <w:start w:val="1"/>
      <w:numFmt w:val="lowerLetter"/>
      <w:lvlText w:val="."/>
      <w:lvlJc w:val="left"/>
      <w:pPr>
        <w:ind w:left="2272" w:hanging="284"/>
      </w:pPr>
    </w:lvl>
    <w:lvl w:ilvl="8">
      <w:start w:val="1"/>
      <w:numFmt w:val="lowerRoman"/>
      <w:lvlText w:val="."/>
      <w:lvlJc w:val="left"/>
      <w:pPr>
        <w:ind w:left="2556" w:hanging="284"/>
      </w:pPr>
    </w:lvl>
  </w:abstractNum>
  <w:abstractNum w:abstractNumId="2" w15:restartNumberingAfterBreak="0">
    <w:nsid w:val="66726C44"/>
    <w:multiLevelType w:val="multilevel"/>
    <w:tmpl w:val="5250407C"/>
    <w:styleLink w:val="WWOutlineListStyle"/>
    <w:lvl w:ilvl="0">
      <w:start w:val="1"/>
      <w:numFmt w:val="upperRoman"/>
      <w:pStyle w:val="Titre1"/>
      <w:lvlText w:val="%1."/>
      <w:lvlJc w:val="left"/>
    </w:lvl>
    <w:lvl w:ilvl="1">
      <w:start w:val="1"/>
      <w:numFmt w:val="decimal"/>
      <w:pStyle w:val="Titre2"/>
      <w:lvlText w:val="%1.%2."/>
      <w:lvlJc w:val="left"/>
      <w:pPr>
        <w:ind w:left="1701" w:hanging="850"/>
      </w:pPr>
    </w:lvl>
    <w:lvl w:ilvl="2">
      <w:start w:val="1"/>
      <w:numFmt w:val="decimal"/>
      <w:pStyle w:val="Titre3"/>
      <w:lvlText w:val="%1.%2.%3."/>
      <w:lvlJc w:val="left"/>
      <w:pPr>
        <w:ind w:left="1701" w:hanging="850"/>
      </w:pPr>
    </w:lvl>
    <w:lvl w:ilvl="3">
      <w:start w:val="1"/>
      <w:numFmt w:val="decimal"/>
      <w:pStyle w:val="Titre4"/>
      <w:lvlText w:val="()"/>
      <w:lvlJc w:val="left"/>
    </w:lvl>
    <w:lvl w:ilvl="4">
      <w:start w:val="1"/>
      <w:numFmt w:val="lowerLetter"/>
      <w:pStyle w:val="Titre5"/>
      <w:lvlText w:val="()"/>
      <w:lvlJc w:val="left"/>
    </w:lvl>
    <w:lvl w:ilvl="5">
      <w:start w:val="1"/>
      <w:numFmt w:val="lowerRoman"/>
      <w:pStyle w:val="Titre6"/>
      <w:lvlText w:val="()"/>
      <w:lvlJc w:val="left"/>
    </w:lvl>
    <w:lvl w:ilvl="6">
      <w:start w:val="1"/>
      <w:numFmt w:val="decimal"/>
      <w:pStyle w:val="Titre7"/>
      <w:lvlText w:val="."/>
      <w:lvlJc w:val="left"/>
    </w:lvl>
    <w:lvl w:ilvl="7">
      <w:start w:val="1"/>
      <w:numFmt w:val="lowerLetter"/>
      <w:pStyle w:val="Titre8"/>
      <w:lvlText w:val="."/>
      <w:lvlJc w:val="left"/>
    </w:lvl>
    <w:lvl w:ilvl="8">
      <w:start w:val="1"/>
      <w:numFmt w:val="lowerRoman"/>
      <w:pStyle w:val="Titre9"/>
      <w:lvlText w:val="."/>
      <w:lvlJc w:val="left"/>
    </w:lvl>
  </w:abstractNum>
  <w:abstractNum w:abstractNumId="3" w15:restartNumberingAfterBreak="0">
    <w:nsid w:val="6CD867E8"/>
    <w:multiLevelType w:val="multilevel"/>
    <w:tmpl w:val="EC588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E72039"/>
    <w:multiLevelType w:val="multilevel"/>
    <w:tmpl w:val="C524776A"/>
    <w:styleLink w:val="LFO14"/>
    <w:lvl w:ilvl="0">
      <w:start w:val="1"/>
      <w:numFmt w:val="decimal"/>
      <w:pStyle w:val="Listenumros"/>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F780033"/>
    <w:multiLevelType w:val="multilevel"/>
    <w:tmpl w:val="B912615E"/>
    <w:styleLink w:val="TemplateTOCList"/>
    <w:lvl w:ilvl="0">
      <w:start w:val="1"/>
      <w:numFmt w:val="upperRoman"/>
      <w:lvlText w:val="%1."/>
      <w:lvlJc w:val="left"/>
    </w:lvl>
    <w:lvl w:ilvl="1">
      <w:start w:val="1"/>
      <w:numFmt w:val="decimal"/>
      <w:lvlText w:val="%1.%2."/>
      <w:lvlJc w:val="left"/>
      <w:pPr>
        <w:ind w:left="1701" w:hanging="850"/>
      </w:pPr>
    </w:lvl>
    <w:lvl w:ilvl="2">
      <w:start w:val="1"/>
      <w:numFmt w:val="decimal"/>
      <w:lvlText w:val="%1.%2.%3."/>
      <w:lvlJc w:val="left"/>
      <w:pPr>
        <w:ind w:left="1701" w:hanging="850"/>
      </w:pPr>
    </w:lvl>
    <w:lvl w:ilvl="3">
      <w:start w:val="1"/>
      <w:numFmt w:val="decimal"/>
      <w:lvlText w:val="()"/>
      <w:lvlJc w:val="left"/>
    </w:lvl>
    <w:lvl w:ilvl="4">
      <w:start w:val="1"/>
      <w:numFmt w:val="lowerLetter"/>
      <w:lvlText w:val="()"/>
      <w:lvlJc w:val="left"/>
    </w:lvl>
    <w:lvl w:ilvl="5">
      <w:start w:val="1"/>
      <w:numFmt w:val="lowerRoman"/>
      <w:lvlText w:val="()"/>
      <w:lvlJc w:val="left"/>
    </w:lvl>
    <w:lvl w:ilvl="6">
      <w:start w:val="1"/>
      <w:numFmt w:val="decimal"/>
      <w:lvlText w:val="."/>
      <w:lvlJc w:val="left"/>
    </w:lvl>
    <w:lvl w:ilvl="7">
      <w:start w:val="1"/>
      <w:numFmt w:val="lowerLetter"/>
      <w:lvlText w:val="."/>
      <w:lvlJc w:val="left"/>
    </w:lvl>
    <w:lvl w:ilvl="8">
      <w:start w:val="1"/>
      <w:numFmt w:val="lowerRoman"/>
      <w:lvlText w:val="."/>
      <w:lvlJc w:val="left"/>
    </w:lvl>
  </w:abstractNum>
  <w:num w:numId="1" w16cid:durableId="728964214">
    <w:abstractNumId w:val="2"/>
  </w:num>
  <w:num w:numId="2" w16cid:durableId="1978875098">
    <w:abstractNumId w:val="5"/>
  </w:num>
  <w:num w:numId="3" w16cid:durableId="1164706371">
    <w:abstractNumId w:val="1"/>
  </w:num>
  <w:num w:numId="4" w16cid:durableId="1331329356">
    <w:abstractNumId w:val="4"/>
  </w:num>
  <w:num w:numId="5" w16cid:durableId="1635481643">
    <w:abstractNumId w:val="0"/>
  </w:num>
  <w:num w:numId="6" w16cid:durableId="121657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5273"/>
    <w:rsid w:val="00675273"/>
    <w:rsid w:val="0068723E"/>
    <w:rsid w:val="00B52992"/>
    <w:rsid w:val="00D372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682C"/>
  <w15:docId w15:val="{A9518762-C066-4740-9610-DB3F3444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color w:val="003042"/>
      <w:sz w:val="20"/>
    </w:rPr>
  </w:style>
  <w:style w:type="paragraph" w:styleId="Titre1">
    <w:name w:val="heading 1"/>
    <w:basedOn w:val="Normal"/>
    <w:next w:val="Normal"/>
    <w:uiPriority w:val="9"/>
    <w:qFormat/>
    <w:pPr>
      <w:keepNext/>
      <w:keepLines/>
      <w:numPr>
        <w:numId w:val="1"/>
      </w:numPr>
      <w:spacing w:before="240" w:after="240"/>
      <w:jc w:val="center"/>
      <w:outlineLvl w:val="0"/>
    </w:pPr>
    <w:rPr>
      <w:rFonts w:eastAsia="Times New Roman"/>
      <w:b/>
      <w:color w:val="001721"/>
      <w:sz w:val="32"/>
      <w:szCs w:val="32"/>
    </w:rPr>
  </w:style>
  <w:style w:type="paragraph" w:styleId="Titre2">
    <w:name w:val="heading 2"/>
    <w:basedOn w:val="Normal"/>
    <w:next w:val="Normal"/>
    <w:uiPriority w:val="9"/>
    <w:semiHidden/>
    <w:unhideWhenUsed/>
    <w:qFormat/>
    <w:pPr>
      <w:keepNext/>
      <w:keepLines/>
      <w:numPr>
        <w:ilvl w:val="1"/>
        <w:numId w:val="1"/>
      </w:numPr>
      <w:spacing w:before="120" w:after="120"/>
      <w:outlineLvl w:val="1"/>
    </w:pPr>
    <w:rPr>
      <w:rFonts w:eastAsia="Times New Roman"/>
      <w:b/>
      <w:smallCaps/>
      <w:sz w:val="24"/>
      <w:szCs w:val="26"/>
    </w:rPr>
  </w:style>
  <w:style w:type="paragraph" w:styleId="Titre3">
    <w:name w:val="heading 3"/>
    <w:basedOn w:val="Normal"/>
    <w:next w:val="Normal"/>
    <w:uiPriority w:val="9"/>
    <w:semiHidden/>
    <w:unhideWhenUsed/>
    <w:qFormat/>
    <w:pPr>
      <w:keepNext/>
      <w:keepLines/>
      <w:numPr>
        <w:ilvl w:val="2"/>
        <w:numId w:val="1"/>
      </w:numPr>
      <w:spacing w:before="40" w:after="0"/>
      <w:outlineLvl w:val="2"/>
    </w:pPr>
    <w:rPr>
      <w:rFonts w:eastAsia="Times New Roman"/>
      <w:sz w:val="24"/>
      <w:szCs w:val="24"/>
    </w:rPr>
  </w:style>
  <w:style w:type="paragraph" w:styleId="Titre4">
    <w:name w:val="heading 4"/>
    <w:basedOn w:val="Normal"/>
    <w:next w:val="Normal"/>
    <w:uiPriority w:val="9"/>
    <w:semiHidden/>
    <w:unhideWhenUsed/>
    <w:qFormat/>
    <w:pPr>
      <w:keepNext/>
      <w:keepLines/>
      <w:numPr>
        <w:ilvl w:val="3"/>
        <w:numId w:val="1"/>
      </w:numPr>
      <w:spacing w:before="40" w:after="0"/>
      <w:outlineLvl w:val="3"/>
    </w:pPr>
    <w:rPr>
      <w:rFonts w:eastAsia="Times New Roman"/>
      <w:i/>
      <w:iCs/>
      <w:color w:val="6B8594"/>
    </w:rPr>
  </w:style>
  <w:style w:type="paragraph" w:styleId="Titre5">
    <w:name w:val="heading 5"/>
    <w:basedOn w:val="Normal"/>
    <w:next w:val="Normal"/>
    <w:uiPriority w:val="9"/>
    <w:semiHidden/>
    <w:unhideWhenUsed/>
    <w:qFormat/>
    <w:pPr>
      <w:keepNext/>
      <w:keepLines/>
      <w:numPr>
        <w:ilvl w:val="4"/>
        <w:numId w:val="1"/>
      </w:numPr>
      <w:spacing w:before="40" w:after="0"/>
      <w:outlineLvl w:val="4"/>
    </w:pPr>
    <w:rPr>
      <w:rFonts w:eastAsia="Times New Roman"/>
      <w:color w:val="6B8594"/>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Times New Roman"/>
      <w:color w:val="475863"/>
    </w:rPr>
  </w:style>
  <w:style w:type="paragraph" w:styleId="Titre7">
    <w:name w:val="heading 7"/>
    <w:basedOn w:val="Normal"/>
    <w:next w:val="Normal"/>
    <w:pPr>
      <w:keepNext/>
      <w:keepLines/>
      <w:numPr>
        <w:ilvl w:val="6"/>
        <w:numId w:val="1"/>
      </w:numPr>
      <w:spacing w:before="40" w:after="0"/>
      <w:outlineLvl w:val="6"/>
    </w:pPr>
    <w:rPr>
      <w:rFonts w:eastAsia="Times New Roman"/>
      <w:i/>
      <w:iCs/>
      <w:color w:val="475863"/>
    </w:rPr>
  </w:style>
  <w:style w:type="paragraph" w:styleId="Titre8">
    <w:name w:val="heading 8"/>
    <w:basedOn w:val="Normal"/>
    <w:next w:val="Normal"/>
    <w:pPr>
      <w:keepNext/>
      <w:keepLines/>
      <w:numPr>
        <w:ilvl w:val="7"/>
        <w:numId w:val="1"/>
      </w:numPr>
      <w:spacing w:before="40" w:after="0"/>
      <w:outlineLvl w:val="7"/>
    </w:pPr>
    <w:rPr>
      <w:rFonts w:eastAsia="Times New Roman"/>
      <w:color w:val="006085"/>
      <w:sz w:val="21"/>
      <w:szCs w:val="21"/>
    </w:rPr>
  </w:style>
  <w:style w:type="paragraph" w:styleId="Titre9">
    <w:name w:val="heading 9"/>
    <w:basedOn w:val="Normal"/>
    <w:next w:val="Normal"/>
    <w:pPr>
      <w:keepNext/>
      <w:keepLines/>
      <w:numPr>
        <w:ilvl w:val="8"/>
        <w:numId w:val="1"/>
      </w:numPr>
      <w:spacing w:before="40" w:after="0"/>
      <w:outlineLvl w:val="8"/>
    </w:pPr>
    <w:rPr>
      <w:rFonts w:eastAsia="Times New Roman"/>
      <w:i/>
      <w:iCs/>
      <w:color w:val="006085"/>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styleId="En-tte">
    <w:name w:val="header"/>
    <w:basedOn w:val="Normal"/>
    <w:pPr>
      <w:tabs>
        <w:tab w:val="center" w:pos="4513"/>
        <w:tab w:val="right" w:pos="9026"/>
      </w:tabs>
      <w:spacing w:after="0" w:line="240" w:lineRule="auto"/>
    </w:pPr>
  </w:style>
  <w:style w:type="character" w:customStyle="1" w:styleId="En-tteCar">
    <w:name w:val="En-tête Car"/>
    <w:basedOn w:val="Policepardfaut"/>
    <w:rPr>
      <w:color w:val="003042"/>
      <w:sz w:val="20"/>
    </w:rPr>
  </w:style>
  <w:style w:type="paragraph" w:styleId="Pieddepage">
    <w:name w:val="footer"/>
    <w:basedOn w:val="Normal"/>
    <w:pPr>
      <w:tabs>
        <w:tab w:val="center" w:pos="4513"/>
        <w:tab w:val="right" w:pos="9026"/>
      </w:tabs>
      <w:spacing w:after="0" w:line="240" w:lineRule="auto"/>
      <w:jc w:val="center"/>
    </w:pPr>
    <w:rPr>
      <w:sz w:val="16"/>
    </w:rPr>
  </w:style>
  <w:style w:type="character" w:customStyle="1" w:styleId="PieddepageCar">
    <w:name w:val="Pied de page Car"/>
    <w:basedOn w:val="Policepardfaut"/>
    <w:rPr>
      <w:color w:val="003042"/>
      <w:sz w:val="16"/>
    </w:rPr>
  </w:style>
  <w:style w:type="character" w:styleId="Textedelespacerserv">
    <w:name w:val="Placeholder Text"/>
    <w:basedOn w:val="Policepardfaut"/>
    <w:rPr>
      <w:color w:val="808080"/>
    </w:rPr>
  </w:style>
  <w:style w:type="paragraph" w:styleId="Titre">
    <w:name w:val="Title"/>
    <w:basedOn w:val="Normal"/>
    <w:next w:val="Normal"/>
    <w:uiPriority w:val="10"/>
    <w:qFormat/>
    <w:pPr>
      <w:spacing w:after="0" w:line="240" w:lineRule="auto"/>
      <w:contextualSpacing/>
    </w:pPr>
    <w:rPr>
      <w:rFonts w:eastAsia="Times New Roman"/>
      <w:b/>
      <w:spacing w:val="-10"/>
      <w:kern w:val="3"/>
      <w:sz w:val="40"/>
      <w:szCs w:val="56"/>
      <w:u w:val="single"/>
    </w:rPr>
  </w:style>
  <w:style w:type="character" w:customStyle="1" w:styleId="TitreCar">
    <w:name w:val="Titre Car"/>
    <w:basedOn w:val="Policepardfaut"/>
    <w:rPr>
      <w:rFonts w:ascii="Arial" w:eastAsia="Times New Roman" w:hAnsi="Arial" w:cs="Times New Roman"/>
      <w:b/>
      <w:color w:val="003042"/>
      <w:spacing w:val="-10"/>
      <w:kern w:val="3"/>
      <w:sz w:val="40"/>
      <w:szCs w:val="56"/>
      <w:u w:val="single"/>
    </w:rPr>
  </w:style>
  <w:style w:type="character" w:styleId="lev">
    <w:name w:val="Strong"/>
    <w:basedOn w:val="Policepardfaut"/>
    <w:rPr>
      <w:b/>
      <w:bCs/>
      <w:u w:val="single"/>
    </w:rPr>
  </w:style>
  <w:style w:type="character" w:styleId="Rfrenceintense">
    <w:name w:val="Intense Reference"/>
    <w:basedOn w:val="Policepardfaut"/>
    <w:rPr>
      <w:b/>
      <w:bCs/>
      <w:smallCaps/>
      <w:color w:val="00B0F3"/>
      <w:spacing w:val="5"/>
    </w:rPr>
  </w:style>
  <w:style w:type="character" w:styleId="Rfrencelgre">
    <w:name w:val="Subtle Reference"/>
    <w:basedOn w:val="Policepardfaut"/>
    <w:rPr>
      <w:smallCaps/>
      <w:color w:val="00A1DE"/>
    </w:rPr>
  </w:style>
  <w:style w:type="character" w:customStyle="1" w:styleId="Titre1Car">
    <w:name w:val="Titre 1 Car"/>
    <w:basedOn w:val="Policepardfaut"/>
    <w:rPr>
      <w:rFonts w:ascii="Arial" w:eastAsia="Times New Roman" w:hAnsi="Arial" w:cs="Times New Roman"/>
      <w:b/>
      <w:color w:val="001721"/>
      <w:sz w:val="32"/>
      <w:szCs w:val="32"/>
    </w:rPr>
  </w:style>
  <w:style w:type="character" w:customStyle="1" w:styleId="Titre2Car">
    <w:name w:val="Titre 2 Car"/>
    <w:basedOn w:val="Policepardfaut"/>
    <w:rPr>
      <w:rFonts w:ascii="Arial" w:eastAsia="Times New Roman" w:hAnsi="Arial" w:cs="Times New Roman"/>
      <w:b/>
      <w:smallCaps/>
      <w:color w:val="003042"/>
      <w:sz w:val="24"/>
      <w:szCs w:val="26"/>
    </w:rPr>
  </w:style>
  <w:style w:type="character" w:styleId="Accentuationintense">
    <w:name w:val="Intense Emphasis"/>
    <w:basedOn w:val="Policepardfaut"/>
    <w:rPr>
      <w:i/>
      <w:iCs/>
      <w:color w:val="FFFFFF"/>
    </w:rPr>
  </w:style>
  <w:style w:type="paragraph" w:styleId="Citationintense">
    <w:name w:val="Intense Quote"/>
    <w:basedOn w:val="Normal"/>
    <w:next w:val="Normal"/>
    <w:pPr>
      <w:pBdr>
        <w:top w:val="single" w:sz="4" w:space="10" w:color="0080B1"/>
        <w:bottom w:val="single" w:sz="4" w:space="10" w:color="0080B1"/>
      </w:pBdr>
      <w:spacing w:before="360" w:after="360"/>
      <w:ind w:left="864" w:right="864"/>
      <w:jc w:val="center"/>
    </w:pPr>
    <w:rPr>
      <w:i/>
      <w:iCs/>
      <w:color w:val="0080B1"/>
    </w:rPr>
  </w:style>
  <w:style w:type="character" w:customStyle="1" w:styleId="CitationintenseCar">
    <w:name w:val="Citation intense Car"/>
    <w:basedOn w:val="Policepardfaut"/>
    <w:rPr>
      <w:i/>
      <w:iCs/>
      <w:color w:val="0080B1"/>
    </w:rPr>
  </w:style>
  <w:style w:type="paragraph" w:styleId="TM1">
    <w:name w:val="toc 1"/>
    <w:basedOn w:val="Normal"/>
    <w:next w:val="Normal"/>
    <w:autoRedefine/>
    <w:pPr>
      <w:spacing w:before="360" w:after="0"/>
    </w:pPr>
    <w:rPr>
      <w:rFonts w:cs="Arial"/>
      <w:b/>
      <w:bCs/>
      <w:caps/>
      <w:sz w:val="24"/>
      <w:szCs w:val="24"/>
    </w:rPr>
  </w:style>
  <w:style w:type="paragraph" w:styleId="TM2">
    <w:name w:val="toc 2"/>
    <w:basedOn w:val="Normal"/>
    <w:next w:val="Normal"/>
    <w:autoRedefine/>
    <w:pPr>
      <w:spacing w:before="240" w:after="0"/>
      <w:ind w:left="567"/>
    </w:pPr>
    <w:rPr>
      <w:rFonts w:cs="Arial"/>
      <w:bCs/>
      <w:i/>
      <w:szCs w:val="20"/>
    </w:rPr>
  </w:style>
  <w:style w:type="paragraph" w:styleId="TM3">
    <w:name w:val="toc 3"/>
    <w:basedOn w:val="Normal"/>
    <w:next w:val="Normal"/>
    <w:autoRedefine/>
    <w:pPr>
      <w:spacing w:after="0"/>
      <w:ind w:left="220"/>
    </w:pPr>
    <w:rPr>
      <w:rFonts w:cs="Arial"/>
      <w:szCs w:val="20"/>
    </w:rPr>
  </w:style>
  <w:style w:type="paragraph" w:styleId="TM4">
    <w:name w:val="toc 4"/>
    <w:basedOn w:val="Normal"/>
    <w:next w:val="Normal"/>
    <w:autoRedefine/>
    <w:pPr>
      <w:spacing w:after="0"/>
      <w:ind w:left="440"/>
    </w:pPr>
    <w:rPr>
      <w:rFonts w:cs="Arial"/>
      <w:szCs w:val="20"/>
    </w:rPr>
  </w:style>
  <w:style w:type="paragraph" w:styleId="TM5">
    <w:name w:val="toc 5"/>
    <w:basedOn w:val="Normal"/>
    <w:next w:val="Normal"/>
    <w:autoRedefine/>
    <w:pPr>
      <w:spacing w:after="0"/>
      <w:ind w:left="660"/>
    </w:pPr>
    <w:rPr>
      <w:rFonts w:cs="Arial"/>
      <w:szCs w:val="20"/>
    </w:rPr>
  </w:style>
  <w:style w:type="paragraph" w:styleId="TM6">
    <w:name w:val="toc 6"/>
    <w:basedOn w:val="Normal"/>
    <w:next w:val="Normal"/>
    <w:autoRedefine/>
    <w:pPr>
      <w:spacing w:after="0"/>
      <w:ind w:left="880"/>
    </w:pPr>
    <w:rPr>
      <w:rFonts w:cs="Arial"/>
      <w:szCs w:val="20"/>
    </w:rPr>
  </w:style>
  <w:style w:type="paragraph" w:styleId="TM7">
    <w:name w:val="toc 7"/>
    <w:basedOn w:val="Normal"/>
    <w:next w:val="Normal"/>
    <w:autoRedefine/>
    <w:pPr>
      <w:spacing w:after="0"/>
      <w:ind w:left="1100"/>
    </w:pPr>
    <w:rPr>
      <w:rFonts w:cs="Arial"/>
      <w:szCs w:val="20"/>
    </w:rPr>
  </w:style>
  <w:style w:type="paragraph" w:styleId="TM8">
    <w:name w:val="toc 8"/>
    <w:basedOn w:val="Normal"/>
    <w:next w:val="Normal"/>
    <w:autoRedefine/>
    <w:pPr>
      <w:spacing w:after="0"/>
      <w:ind w:left="1320"/>
    </w:pPr>
    <w:rPr>
      <w:rFonts w:cs="Arial"/>
      <w:szCs w:val="20"/>
    </w:rPr>
  </w:style>
  <w:style w:type="paragraph" w:styleId="TM9">
    <w:name w:val="toc 9"/>
    <w:basedOn w:val="Normal"/>
    <w:next w:val="Normal"/>
    <w:autoRedefine/>
    <w:pPr>
      <w:spacing w:after="0"/>
      <w:ind w:left="1540"/>
    </w:pPr>
    <w:rPr>
      <w:rFonts w:cs="Arial"/>
      <w:szCs w:val="20"/>
    </w:rPr>
  </w:style>
  <w:style w:type="paragraph" w:styleId="Date">
    <w:name w:val="Date"/>
    <w:basedOn w:val="Normal"/>
    <w:next w:val="Normal"/>
    <w:rPr>
      <w:i/>
    </w:rPr>
  </w:style>
  <w:style w:type="character" w:customStyle="1" w:styleId="DateCar">
    <w:name w:val="Date Car"/>
    <w:basedOn w:val="Policepardfaut"/>
    <w:rPr>
      <w:i/>
      <w:color w:val="003042"/>
      <w:sz w:val="20"/>
    </w:rPr>
  </w:style>
  <w:style w:type="paragraph" w:styleId="En-ttedetabledesmatires">
    <w:name w:val="TOC Heading"/>
    <w:basedOn w:val="Normal"/>
    <w:next w:val="Normal"/>
    <w:pPr>
      <w:spacing w:after="360"/>
      <w:jc w:val="center"/>
    </w:pPr>
    <w:rPr>
      <w:b/>
      <w:caps/>
      <w:color w:val="16A7ED"/>
      <w:sz w:val="36"/>
      <w:lang w:val="en-US"/>
    </w:rPr>
  </w:style>
  <w:style w:type="character" w:customStyle="1" w:styleId="Titre3Car">
    <w:name w:val="Titre 3 Car"/>
    <w:basedOn w:val="Policepardfaut"/>
    <w:rPr>
      <w:rFonts w:ascii="Arial" w:eastAsia="Times New Roman" w:hAnsi="Arial" w:cs="Times New Roman"/>
      <w:color w:val="003042"/>
      <w:sz w:val="24"/>
      <w:szCs w:val="24"/>
    </w:rPr>
  </w:style>
  <w:style w:type="character" w:customStyle="1" w:styleId="Titre4Car">
    <w:name w:val="Titre 4 Car"/>
    <w:basedOn w:val="Policepardfaut"/>
    <w:rPr>
      <w:rFonts w:ascii="Arial" w:eastAsia="Times New Roman" w:hAnsi="Arial" w:cs="Times New Roman"/>
      <w:i/>
      <w:iCs/>
      <w:color w:val="6B8594"/>
    </w:rPr>
  </w:style>
  <w:style w:type="character" w:customStyle="1" w:styleId="Titre5Car">
    <w:name w:val="Titre 5 Car"/>
    <w:basedOn w:val="Policepardfaut"/>
    <w:rPr>
      <w:rFonts w:ascii="Arial" w:eastAsia="Times New Roman" w:hAnsi="Arial" w:cs="Times New Roman"/>
      <w:color w:val="6B8594"/>
    </w:rPr>
  </w:style>
  <w:style w:type="character" w:customStyle="1" w:styleId="Titre6Car">
    <w:name w:val="Titre 6 Car"/>
    <w:basedOn w:val="Policepardfaut"/>
    <w:rPr>
      <w:rFonts w:ascii="Arial" w:eastAsia="Times New Roman" w:hAnsi="Arial" w:cs="Times New Roman"/>
      <w:color w:val="475863"/>
    </w:rPr>
  </w:style>
  <w:style w:type="character" w:customStyle="1" w:styleId="Titre7Car">
    <w:name w:val="Titre 7 Car"/>
    <w:basedOn w:val="Policepardfaut"/>
    <w:rPr>
      <w:rFonts w:ascii="Arial" w:eastAsia="Times New Roman" w:hAnsi="Arial" w:cs="Times New Roman"/>
      <w:i/>
      <w:iCs/>
      <w:color w:val="475863"/>
    </w:rPr>
  </w:style>
  <w:style w:type="character" w:customStyle="1" w:styleId="Titre8Car">
    <w:name w:val="Titre 8 Car"/>
    <w:basedOn w:val="Policepardfaut"/>
    <w:rPr>
      <w:rFonts w:ascii="Arial" w:eastAsia="Times New Roman" w:hAnsi="Arial" w:cs="Times New Roman"/>
      <w:color w:val="006085"/>
      <w:sz w:val="21"/>
      <w:szCs w:val="21"/>
    </w:rPr>
  </w:style>
  <w:style w:type="character" w:customStyle="1" w:styleId="Titre9Car">
    <w:name w:val="Titre 9 Car"/>
    <w:basedOn w:val="Policepardfaut"/>
    <w:rPr>
      <w:rFonts w:ascii="Arial" w:eastAsia="Times New Roman" w:hAnsi="Arial" w:cs="Times New Roman"/>
      <w:i/>
      <w:iCs/>
      <w:color w:val="006085"/>
      <w:sz w:val="21"/>
      <w:szCs w:val="21"/>
    </w:rPr>
  </w:style>
  <w:style w:type="paragraph" w:styleId="Listepuces">
    <w:name w:val="List Bullet"/>
    <w:basedOn w:val="Normal"/>
    <w:pPr>
      <w:contextualSpacing/>
    </w:pPr>
  </w:style>
  <w:style w:type="paragraph" w:styleId="Listepuces2">
    <w:name w:val="List Bullet 2"/>
    <w:basedOn w:val="Normal"/>
    <w:pPr>
      <w:contextualSpacing/>
    </w:pPr>
  </w:style>
  <w:style w:type="paragraph" w:styleId="Listepuces3">
    <w:name w:val="List Bullet 3"/>
    <w:basedOn w:val="Normal"/>
    <w:pPr>
      <w:contextualSpacing/>
    </w:pPr>
  </w:style>
  <w:style w:type="paragraph" w:styleId="Listepuces4">
    <w:name w:val="List Bullet 4"/>
    <w:basedOn w:val="Normal"/>
    <w:pPr>
      <w:contextualSpacing/>
    </w:pPr>
  </w:style>
  <w:style w:type="paragraph" w:styleId="Listepuces5">
    <w:name w:val="List Bullet 5"/>
    <w:basedOn w:val="Normal"/>
    <w:pPr>
      <w:numPr>
        <w:numId w:val="3"/>
      </w:numPr>
      <w:contextualSpacing/>
    </w:pPr>
  </w:style>
  <w:style w:type="character" w:styleId="Lienhypertexte">
    <w:name w:val="Hyperlink"/>
    <w:basedOn w:val="Policepardfaut"/>
    <w:rPr>
      <w:color w:val="16A7ED"/>
      <w:u w:val="single"/>
    </w:rPr>
  </w:style>
  <w:style w:type="paragraph" w:styleId="Paragraphedeliste">
    <w:name w:val="List Paragraph"/>
    <w:basedOn w:val="Normal"/>
    <w:pPr>
      <w:ind w:left="720"/>
      <w:contextualSpacing/>
    </w:pPr>
  </w:style>
  <w:style w:type="paragraph" w:styleId="Listenumros">
    <w:name w:val="List Number"/>
    <w:basedOn w:val="Normal"/>
    <w:pPr>
      <w:numPr>
        <w:numId w:val="4"/>
      </w:numPr>
      <w:contextualSpacing/>
    </w:pPr>
  </w:style>
  <w:style w:type="paragraph" w:styleId="Sansinterligne">
    <w:name w:val="No Spacing"/>
    <w:pPr>
      <w:suppressAutoHyphens/>
      <w:spacing w:after="0" w:line="276" w:lineRule="auto"/>
    </w:pPr>
    <w:rPr>
      <w:color w:val="003042"/>
      <w:sz w:val="20"/>
    </w:rPr>
  </w:style>
  <w:style w:type="numbering" w:customStyle="1" w:styleId="TemplateTOCList">
    <w:name w:val="Template_TOC_List"/>
    <w:basedOn w:val="Aucuneliste"/>
    <w:pPr>
      <w:numPr>
        <w:numId w:val="2"/>
      </w:numPr>
    </w:pPr>
  </w:style>
  <w:style w:type="numbering" w:customStyle="1" w:styleId="TemplateBulletList">
    <w:name w:val="Template_Bullet_List"/>
    <w:basedOn w:val="Aucuneliste"/>
    <w:pPr>
      <w:numPr>
        <w:numId w:val="3"/>
      </w:numPr>
    </w:pPr>
  </w:style>
  <w:style w:type="numbering" w:customStyle="1" w:styleId="LFO14">
    <w:name w:val="LFO1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3301</Characters>
  <Application>Microsoft Office Word</Application>
  <DocSecurity>0</DocSecurity>
  <Lines>173</Lines>
  <Paragraphs>128</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Quitterie DE WENDEL</dc:creator>
  <dc:description/>
  <cp:lastModifiedBy>Quitterie DE WENDEL</cp:lastModifiedBy>
  <cp:revision>2</cp:revision>
  <dcterms:created xsi:type="dcterms:W3CDTF">2025-10-16T09:18:00Z</dcterms:created>
  <dcterms:modified xsi:type="dcterms:W3CDTF">2025-10-16T09:18:00Z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0x0101004C78CE09F451044085BD20AE26165FED</vt:lpwstr>
  </property>
</Properties>
</file>